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41CF" w14:textId="77777777" w:rsidR="00D426F2" w:rsidRDefault="00000000">
      <w:pPr>
        <w:spacing w:after="0" w:line="259" w:lineRule="auto"/>
        <w:ind w:firstLine="0"/>
        <w:jc w:val="center"/>
      </w:pPr>
      <w:r>
        <w:t>Section OO 11 13</w:t>
      </w:r>
    </w:p>
    <w:p w14:paraId="0E8184CF" w14:textId="77777777" w:rsidR="00D426F2" w:rsidRDefault="00000000">
      <w:pPr>
        <w:pStyle w:val="Heading1"/>
      </w:pPr>
      <w:r>
        <w:t>ADVERTISEMENT TO BID</w:t>
      </w:r>
    </w:p>
    <w:p w14:paraId="19D0AE2D" w14:textId="77777777" w:rsidR="00D426F2" w:rsidRDefault="00000000">
      <w:pPr>
        <w:spacing w:after="493" w:line="259" w:lineRule="auto"/>
        <w:ind w:left="394" w:firstLine="0"/>
        <w:jc w:val="center"/>
      </w:pPr>
      <w:r>
        <w:rPr>
          <w:sz w:val="22"/>
        </w:rPr>
        <w:t>MGL c.i49 $501&lt; to $150K</w:t>
      </w:r>
    </w:p>
    <w:p w14:paraId="75B6B7EE" w14:textId="77777777" w:rsidR="00D426F2" w:rsidRDefault="00000000">
      <w:pPr>
        <w:spacing w:after="0"/>
        <w:ind w:left="340" w:right="38"/>
      </w:pPr>
      <w:r>
        <w:t>The WESTFIELD HOUSING AUTHORITY, the Awarding Authority, invites sealed bids from Contractors for the Basement Window Replacement REBID at State Aided</w:t>
      </w:r>
    </w:p>
    <w:p w14:paraId="7DBB1F84" w14:textId="77777777" w:rsidR="00D426F2" w:rsidRDefault="00000000">
      <w:pPr>
        <w:spacing w:after="196"/>
        <w:ind w:left="340" w:right="38"/>
      </w:pPr>
      <w:r>
        <w:t xml:space="preserve">Development: Colonial Pines Acres (200-1) in Westfield, Massachusetts, in accordance with the documents prepared by NEXT PHASE STUDIOS, </w:t>
      </w:r>
      <w:proofErr w:type="gramStart"/>
      <w:r>
        <w:t>INC..</w:t>
      </w:r>
      <w:proofErr w:type="gramEnd"/>
    </w:p>
    <w:p w14:paraId="0EB5071D" w14:textId="77777777" w:rsidR="00D426F2" w:rsidRDefault="00000000">
      <w:pPr>
        <w:ind w:left="340" w:right="38"/>
      </w:pPr>
      <w:r>
        <w:t>The Project consists of but not limited to:</w:t>
      </w:r>
    </w:p>
    <w:p w14:paraId="51DE9643" w14:textId="77777777" w:rsidR="00D426F2" w:rsidRDefault="00000000">
      <w:pPr>
        <w:spacing w:after="176"/>
        <w:ind w:left="340" w:right="235"/>
      </w:pPr>
      <w:r>
        <w:t>The Work consists of the selective demolition and infill of existing leaking basement window openings at Colonial Pines Acres, including all labor, materials, equipment, and incidentals required to provide a complete and watertight building envelope system.</w:t>
      </w:r>
    </w:p>
    <w:p w14:paraId="6337610E" w14:textId="77777777" w:rsidR="00D426F2" w:rsidRDefault="00000000">
      <w:pPr>
        <w:spacing w:after="247"/>
        <w:ind w:left="340" w:right="327"/>
      </w:pPr>
      <w:r>
        <w:t>Work includes excavation at existing window well locations, removal of window well components, and preparation of exposed foundation walls. Existing basement window units, frames, and associated components shall be removed or abandoned in place as indicated. Openings shall be infilled with concrete masonry units (CMU) at exterior and interior faces, including all required reinforcement, mortar, and accessories.</w:t>
      </w:r>
    </w:p>
    <w:p w14:paraId="5E933252" w14:textId="77777777" w:rsidR="00D426F2" w:rsidRDefault="00000000">
      <w:pPr>
        <w:spacing w:after="227" w:line="265" w:lineRule="auto"/>
        <w:ind w:left="360" w:right="629" w:hanging="5"/>
      </w:pPr>
      <w:r>
        <w:rPr>
          <w:sz w:val="24"/>
        </w:rPr>
        <w:t>Provide fluid-applied waterproofing at exterior foundation walls at all infilled window locations, including surface preparation, crack repair, sealing of penetrations, and integration with adjacent materials to ensure continuity of the waterproofing system.</w:t>
      </w:r>
    </w:p>
    <w:p w14:paraId="4FFE64A1" w14:textId="77777777" w:rsidR="00D426F2" w:rsidRDefault="00000000">
      <w:pPr>
        <w:spacing w:after="234" w:line="265" w:lineRule="auto"/>
        <w:ind w:left="351" w:hanging="5"/>
      </w:pPr>
      <w:r>
        <w:rPr>
          <w:sz w:val="24"/>
        </w:rPr>
        <w:t>Work includes removal and modification of existing exterior laundry vents and coordination of vent penetrations. Provide new vent extensions, sleeves, or enclosures as required to maintain proper operation while eliminating water infiltration pathways.</w:t>
      </w:r>
    </w:p>
    <w:p w14:paraId="6D676374" w14:textId="77777777" w:rsidR="00D426F2" w:rsidRDefault="00000000">
      <w:pPr>
        <w:spacing w:after="270"/>
        <w:ind w:left="340" w:right="245"/>
      </w:pPr>
      <w:r>
        <w:t xml:space="preserve">Site work includes backfilling of existing window wells with clean, well-draining material, compaction in lifts, </w:t>
      </w:r>
      <w:proofErr w:type="gramStart"/>
      <w:r>
        <w:t>regrading</w:t>
      </w:r>
      <w:proofErr w:type="gramEnd"/>
      <w:r>
        <w:t xml:space="preserve"> to direct water away from the building, and restoration of disturbed areas. Provide loam and seed at lawn areas and asphalt patching where adjacent to paved surfaces.</w:t>
      </w:r>
    </w:p>
    <w:p w14:paraId="325F59B8" w14:textId="77777777" w:rsidR="00D426F2" w:rsidRDefault="00000000">
      <w:pPr>
        <w:spacing w:after="241"/>
        <w:ind w:left="340" w:right="38"/>
      </w:pPr>
      <w:r>
        <w:t>Interior work is limited and includes protection of occupied units, maintenance of safe egress at all times, and minor repairs to adjacent surfaces as required.</w:t>
      </w:r>
    </w:p>
    <w:p w14:paraId="0F01B5FF" w14:textId="77777777" w:rsidR="00D426F2" w:rsidRDefault="00000000">
      <w:pPr>
        <w:spacing w:after="527" w:line="216" w:lineRule="auto"/>
        <w:ind w:left="356" w:hanging="10"/>
        <w:jc w:val="left"/>
      </w:pPr>
      <w:r>
        <w:rPr>
          <w:sz w:val="24"/>
        </w:rPr>
        <w:t>All work shall be performed in occupied residential buildings and shall be phased to maintain continuous building operations and a watertight condition at all times. The Contractor shall verify all existing conditions prior to construction and coordinate all work to deliver a durable, weather-tight, and complete installation in accordance with the Contract Documents.</w:t>
      </w:r>
    </w:p>
    <w:p w14:paraId="4FAFBC6C" w14:textId="77777777" w:rsidR="00D426F2" w:rsidRDefault="00000000">
      <w:pPr>
        <w:spacing w:after="1177"/>
        <w:ind w:left="340" w:right="38"/>
      </w:pPr>
      <w:r>
        <w:t>The work is estimated to cost $106,149.95.</w:t>
      </w:r>
    </w:p>
    <w:p w14:paraId="40CCBD42" w14:textId="77777777" w:rsidR="00D426F2" w:rsidRDefault="00000000">
      <w:pPr>
        <w:spacing w:after="184" w:line="265" w:lineRule="auto"/>
        <w:ind w:left="250" w:hanging="5"/>
      </w:pPr>
      <w:r>
        <w:rPr>
          <w:sz w:val="24"/>
        </w:rPr>
        <w:lastRenderedPageBreak/>
        <w:t xml:space="preserve">All bidding Requests for Information (RFIs) shall be submitted online by 05/07/2026 at </w:t>
      </w:r>
      <w:proofErr w:type="gramStart"/>
      <w:r>
        <w:rPr>
          <w:sz w:val="24"/>
        </w:rPr>
        <w:t>IO:OOAM</w:t>
      </w:r>
      <w:proofErr w:type="gramEnd"/>
      <w:r>
        <w:rPr>
          <w:sz w:val="24"/>
        </w:rPr>
        <w:t xml:space="preserve"> EDT for general bids.</w:t>
      </w:r>
    </w:p>
    <w:p w14:paraId="0985582C" w14:textId="77777777" w:rsidR="00D426F2" w:rsidRDefault="00000000">
      <w:pPr>
        <w:ind w:left="269" w:right="38"/>
      </w:pPr>
      <w:r>
        <w:t>Bids are subject to M.G.L. c. 149 S44A-J &amp; to minimum wage rates as required by</w:t>
      </w:r>
    </w:p>
    <w:p w14:paraId="5B943AD8" w14:textId="77777777" w:rsidR="00D426F2" w:rsidRDefault="00000000">
      <w:pPr>
        <w:spacing w:after="188"/>
        <w:ind w:left="274" w:right="38"/>
      </w:pPr>
      <w:r>
        <w:t>M.G.L. c. 149 5526 to 27H inclusive.</w:t>
      </w:r>
    </w:p>
    <w:p w14:paraId="60A24669" w14:textId="77777777" w:rsidR="00D426F2" w:rsidRDefault="00000000">
      <w:pPr>
        <w:spacing w:after="260"/>
        <w:ind w:left="269" w:right="264"/>
      </w:pPr>
      <w:r>
        <w:t>THIS PROJECT IS BEING ELECTRONICALLY BID AND HARD COPY BIDS WILL NOT BE ACCEPTED. Please review the instructions in the bid documents on how to register as an electronic bidder. All Bids shall be submitted online at biddocs.com and received no later than the date and time specified.</w:t>
      </w:r>
    </w:p>
    <w:p w14:paraId="4C741118" w14:textId="77777777" w:rsidR="00D426F2" w:rsidRDefault="00000000">
      <w:pPr>
        <w:spacing w:after="529"/>
        <w:ind w:left="340" w:right="38"/>
      </w:pPr>
      <w:r>
        <w:t>General Bids will be received until 14 May 2026 at 10:00AM EDT and publicly opened online, forthwith.</w:t>
      </w:r>
    </w:p>
    <w:p w14:paraId="1BC0B597" w14:textId="77777777" w:rsidR="00D426F2" w:rsidRDefault="00000000">
      <w:pPr>
        <w:spacing w:after="267"/>
        <w:ind w:left="340" w:right="38"/>
      </w:pPr>
      <w:r>
        <w:t>General bids and sub-bids shall be accompanied by a bid deposit that is not less than five (5%) of the greatest possible bid amount (including all alternates) and made payable to the WESTFIELD HOUSING AUTHORITY. Note: A bid deposit is not required for Projects advertised under $50,000.</w:t>
      </w:r>
    </w:p>
    <w:p w14:paraId="4B031C99" w14:textId="77777777" w:rsidR="00D426F2" w:rsidRDefault="00000000">
      <w:pPr>
        <w:spacing w:after="262"/>
        <w:ind w:left="340" w:right="38"/>
      </w:pPr>
      <w:r>
        <w:t>Bid Forms and Contract Documents will be available for review at biddocs.com (may be viewed and downloaded electronically at no cost).</w:t>
      </w:r>
    </w:p>
    <w:p w14:paraId="516D0301" w14:textId="77777777" w:rsidR="00D426F2" w:rsidRDefault="00000000">
      <w:pPr>
        <w:spacing w:after="0"/>
        <w:ind w:left="340" w:right="38"/>
      </w:pPr>
      <w:r>
        <w:t>The Contractor and all subcontractors (collectively referred to as "the Contractor') agree to strive to achieve minority and women workforce participation. The Workforce Participation benchmark is set at 6.9% for women and 15.3% for minorities. The</w:t>
      </w:r>
    </w:p>
    <w:p w14:paraId="5E192D01" w14:textId="77777777" w:rsidR="00D426F2" w:rsidRDefault="00000000">
      <w:pPr>
        <w:ind w:left="340" w:right="38"/>
      </w:pPr>
      <w:r>
        <w:t>Workforce benchmark percentages are a statutory requirement under MGL c. 149 S</w:t>
      </w:r>
    </w:p>
    <w:p w14:paraId="06E071EF" w14:textId="77777777" w:rsidR="00D426F2" w:rsidRDefault="00000000">
      <w:pPr>
        <w:spacing w:after="281" w:line="259" w:lineRule="auto"/>
        <w:ind w:left="341" w:firstLine="0"/>
        <w:jc w:val="left"/>
      </w:pPr>
      <w:r>
        <w:rPr>
          <w:noProof/>
        </w:rPr>
        <w:drawing>
          <wp:inline distT="0" distB="0" distL="0" distR="0" wp14:anchorId="0AD5F9B4" wp14:editId="4DD9325A">
            <wp:extent cx="676878" cy="146348"/>
            <wp:effectExtent l="0" t="0" r="0" b="0"/>
            <wp:docPr id="4000" name="Picture 4000"/>
            <wp:cNvGraphicFramePr/>
            <a:graphic xmlns:a="http://schemas.openxmlformats.org/drawingml/2006/main">
              <a:graphicData uri="http://schemas.openxmlformats.org/drawingml/2006/picture">
                <pic:pic xmlns:pic="http://schemas.openxmlformats.org/drawingml/2006/picture">
                  <pic:nvPicPr>
                    <pic:cNvPr id="4000" name="Picture 4000"/>
                    <pic:cNvPicPr/>
                  </pic:nvPicPr>
                  <pic:blipFill>
                    <a:blip r:embed="rId4"/>
                    <a:stretch>
                      <a:fillRect/>
                    </a:stretch>
                  </pic:blipFill>
                  <pic:spPr>
                    <a:xfrm>
                      <a:off x="0" y="0"/>
                      <a:ext cx="676878" cy="146348"/>
                    </a:xfrm>
                    <a:prstGeom prst="rect">
                      <a:avLst/>
                    </a:prstGeom>
                  </pic:spPr>
                </pic:pic>
              </a:graphicData>
            </a:graphic>
          </wp:inline>
        </w:drawing>
      </w:r>
    </w:p>
    <w:p w14:paraId="6B7F86E2" w14:textId="77777777" w:rsidR="00D426F2" w:rsidRDefault="00000000">
      <w:pPr>
        <w:spacing w:after="0" w:line="216" w:lineRule="auto"/>
        <w:ind w:left="365" w:right="3351" w:hanging="5"/>
        <w:jc w:val="left"/>
      </w:pPr>
      <w:r>
        <w:rPr>
          <w:sz w:val="30"/>
        </w:rPr>
        <w:t xml:space="preserve">PRE-BID CONFERENCE / SITE VISIT: Scheduled Date and Time: 04/27/2026 at </w:t>
      </w:r>
      <w:proofErr w:type="gramStart"/>
      <w:r>
        <w:rPr>
          <w:sz w:val="30"/>
        </w:rPr>
        <w:t>IO:OOAM</w:t>
      </w:r>
      <w:proofErr w:type="gramEnd"/>
      <w:r>
        <w:rPr>
          <w:sz w:val="30"/>
        </w:rPr>
        <w:t xml:space="preserve"> EDT</w:t>
      </w:r>
    </w:p>
    <w:p w14:paraId="16667AA0" w14:textId="77777777" w:rsidR="00D426F2" w:rsidRDefault="00000000">
      <w:pPr>
        <w:spacing w:after="509"/>
        <w:ind w:left="340" w:right="2233"/>
      </w:pPr>
      <w:r>
        <w:t>Address: 50 Southampton Road, Westfield, MA 01085 Instructions: None</w:t>
      </w:r>
    </w:p>
    <w:p w14:paraId="747AFC9A" w14:textId="77777777" w:rsidR="00D426F2" w:rsidRDefault="00000000">
      <w:pPr>
        <w:spacing w:after="266"/>
        <w:ind w:left="340" w:right="38"/>
      </w:pPr>
      <w:r>
        <w:t>The hard copy Contract Documents may be seen at:</w:t>
      </w:r>
    </w:p>
    <w:p w14:paraId="2D398DCB" w14:textId="77777777" w:rsidR="00D426F2" w:rsidRDefault="00000000">
      <w:pPr>
        <w:ind w:left="495" w:right="38"/>
      </w:pPr>
      <w:r>
        <w:t>Nashoba Blue Inc.</w:t>
      </w:r>
    </w:p>
    <w:p w14:paraId="14016350" w14:textId="77777777" w:rsidR="00D426F2" w:rsidRDefault="00000000">
      <w:pPr>
        <w:ind w:left="480" w:right="38"/>
      </w:pPr>
      <w:r>
        <w:t>433 Main Street</w:t>
      </w:r>
    </w:p>
    <w:p w14:paraId="144BC13E" w14:textId="77777777" w:rsidR="00D426F2" w:rsidRDefault="00000000">
      <w:pPr>
        <w:ind w:left="499" w:right="38"/>
      </w:pPr>
      <w:r>
        <w:t>Hudson, MA 01749</w:t>
      </w:r>
    </w:p>
    <w:p w14:paraId="39411E72" w14:textId="77777777" w:rsidR="00D426F2" w:rsidRDefault="00000000">
      <w:pPr>
        <w:spacing w:after="708" w:line="259" w:lineRule="auto"/>
        <w:ind w:left="499" w:firstLine="0"/>
        <w:jc w:val="left"/>
      </w:pPr>
      <w:r>
        <w:rPr>
          <w:rFonts w:ascii="Times New Roman" w:eastAsia="Times New Roman" w:hAnsi="Times New Roman" w:cs="Times New Roman"/>
        </w:rPr>
        <w:t>978-568-1167</w:t>
      </w:r>
    </w:p>
    <w:p w14:paraId="213F0CAC" w14:textId="294EC4D7" w:rsidR="00D426F2" w:rsidRDefault="00D426F2">
      <w:pPr>
        <w:spacing w:after="0" w:line="259" w:lineRule="auto"/>
        <w:ind w:left="543" w:firstLine="0"/>
        <w:jc w:val="center"/>
      </w:pPr>
    </w:p>
    <w:sectPr w:rsidR="00D426F2">
      <w:pgSz w:w="12220" w:h="15840"/>
      <w:pgMar w:top="579" w:right="1633" w:bottom="485" w:left="12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F2"/>
    <w:rsid w:val="004C0CF0"/>
    <w:rsid w:val="004C40A3"/>
    <w:rsid w:val="00D4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D8E7"/>
  <w15:docId w15:val="{0BD89D5B-D3C9-4AA7-99AD-AFFAD3E9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 w:line="223" w:lineRule="auto"/>
      <w:ind w:left="379" w:firstLine="4"/>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0" w:line="259" w:lineRule="auto"/>
      <w:ind w:left="365"/>
      <w:jc w:val="center"/>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line="216" w:lineRule="auto"/>
      <w:ind w:left="365" w:right="3351" w:hanging="5"/>
      <w:jc w:val="center"/>
      <w:outlineLvl w:val="1"/>
    </w:pPr>
    <w:rPr>
      <w:rFonts w:ascii="Calibri" w:eastAsia="Calibri" w:hAnsi="Calibri" w:cs="Calibri"/>
      <w:color w:val="000000"/>
      <w:sz w:val="30"/>
    </w:rPr>
  </w:style>
  <w:style w:type="paragraph" w:styleId="Heading3">
    <w:name w:val="heading 3"/>
    <w:next w:val="Normal"/>
    <w:link w:val="Heading3Char"/>
    <w:uiPriority w:val="9"/>
    <w:unhideWhenUsed/>
    <w:qFormat/>
    <w:pPr>
      <w:keepNext/>
      <w:keepLines/>
      <w:spacing w:after="0" w:line="259" w:lineRule="auto"/>
      <w:ind w:left="538"/>
      <w:jc w:val="center"/>
      <w:outlineLvl w:val="2"/>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character" w:customStyle="1" w:styleId="Heading2Char">
    <w:name w:val="Heading 2 Char"/>
    <w:link w:val="Heading2"/>
    <w:rPr>
      <w:rFonts w:ascii="Calibri" w:eastAsia="Calibri" w:hAnsi="Calibri" w:cs="Calibri"/>
      <w:color w:val="000000"/>
      <w:sz w:val="30"/>
    </w:rPr>
  </w:style>
  <w:style w:type="character" w:customStyle="1" w:styleId="Heading3Char">
    <w:name w:val="Heading 3 Char"/>
    <w:link w:val="Heading3"/>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3476</Characters>
  <Application>Microsoft Office Word</Application>
  <DocSecurity>0</DocSecurity>
  <Lines>67</Lines>
  <Paragraphs>30</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Casey</dc:creator>
  <cp:keywords/>
  <cp:lastModifiedBy>Joseph Casey</cp:lastModifiedBy>
  <cp:revision>2</cp:revision>
  <dcterms:created xsi:type="dcterms:W3CDTF">2026-04-17T12:59:00Z</dcterms:created>
  <dcterms:modified xsi:type="dcterms:W3CDTF">2026-04-17T12:59:00Z</dcterms:modified>
</cp:coreProperties>
</file>